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sz w:val="36"/>
          <w:szCs w:val="36"/>
          <w:lang w:val="en-US" w:eastAsia="zh-CN"/>
        </w:rPr>
        <w:t>太原市名医工作室门诊数量及配套资金统计表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填报单位：                          </w:t>
      </w:r>
    </w:p>
    <w:tbl>
      <w:tblPr>
        <w:tblStyle w:val="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2"/>
        <w:gridCol w:w="3079"/>
        <w:gridCol w:w="28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领衔人半日平均门诊数</w:t>
            </w: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配套支出金额（万元）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60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7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36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eastAsia" w:ascii="仿宋" w:hAnsi="仿宋" w:eastAsia="仿宋" w:cs="仿宋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此表自制可续页。             联系人：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36" w:lineRule="auto"/>
        <w:textAlignment w:val="auto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FE0447"/>
    <w:rsid w:val="61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2019-09-24T03:46:00Z</dcterms:created>
  <dc:creator>王卫东</dc:creator>
  <cp:lastModifiedBy>王卫东</cp:lastModifiedBy>
  <dcterms:modified xsi:type="dcterms:W3CDTF">2019-09-24T03:47:14Z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